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14:paraId="3D9FFD74" w14:textId="77777777" w:rsidR="002A2249" w:rsidRPr="003F6F8B" w:rsidRDefault="002A2249" w:rsidP="002A2249">
      <w:pPr>
        <w:spacing w:before="100" w:beforeAutospacing="1" w:after="100" w:afterAutospacing="1" w:line="240" w:lineRule="auto"/>
        <w:outlineLvl w:val="0"/>
        <w:rPr>
          <w:rFonts w:ascii="Times New Roman" w:eastAsia="Times New Roman" w:hAnsi="Times New Roman" w:cs="Times New Roman"/>
          <w:b/>
          <w:bCs/>
          <w:kern w:val="36"/>
          <w:sz w:val="36"/>
          <w:szCs w:val="36"/>
        </w:rPr>
      </w:pPr>
      <w:r w:rsidRPr="003F6F8B">
        <w:rPr>
          <w:rFonts w:ascii="Times New Roman" w:eastAsia="Times New Roman" w:hAnsi="Times New Roman" w:cs="Times New Roman"/>
          <w:b/>
          <w:bCs/>
          <w:kern w:val="36"/>
          <w:sz w:val="36"/>
          <w:szCs w:val="36"/>
        </w:rPr>
        <w:fldChar w:fldCharType="begin"/>
      </w:r>
      <w:r w:rsidRPr="003F6F8B">
        <w:rPr>
          <w:rFonts w:ascii="Times New Roman" w:eastAsia="Times New Roman" w:hAnsi="Times New Roman" w:cs="Times New Roman"/>
          <w:b/>
          <w:bCs/>
          <w:kern w:val="36"/>
          <w:sz w:val="36"/>
          <w:szCs w:val="36"/>
        </w:rPr>
        <w:instrText xml:space="preserve"> HYPERLINK "https://www.britannica.com/topic/Book-of-Ezra" </w:instrText>
      </w:r>
      <w:r w:rsidRPr="003F6F8B">
        <w:rPr>
          <w:rFonts w:ascii="Times New Roman" w:eastAsia="Times New Roman" w:hAnsi="Times New Roman" w:cs="Times New Roman"/>
          <w:b/>
          <w:bCs/>
          <w:kern w:val="36"/>
          <w:sz w:val="36"/>
          <w:szCs w:val="36"/>
        </w:rPr>
        <w:fldChar w:fldCharType="separate"/>
      </w:r>
      <w:r w:rsidRPr="003F6F8B">
        <w:rPr>
          <w:rFonts w:ascii="Times New Roman" w:eastAsia="Times New Roman" w:hAnsi="Times New Roman" w:cs="Times New Roman"/>
          <w:b/>
          <w:bCs/>
          <w:color w:val="0000FF"/>
          <w:kern w:val="36"/>
          <w:sz w:val="36"/>
          <w:szCs w:val="36"/>
          <w:u w:val="single"/>
        </w:rPr>
        <w:t>Ezra</w:t>
      </w:r>
      <w:r w:rsidRPr="003F6F8B">
        <w:rPr>
          <w:rFonts w:ascii="Times New Roman" w:eastAsia="Times New Roman" w:hAnsi="Times New Roman" w:cs="Times New Roman"/>
          <w:b/>
          <w:bCs/>
          <w:kern w:val="36"/>
          <w:sz w:val="36"/>
          <w:szCs w:val="36"/>
        </w:rPr>
        <w:fldChar w:fldCharType="end"/>
      </w:r>
      <w:r w:rsidRPr="003F6F8B">
        <w:rPr>
          <w:rFonts w:ascii="Times New Roman" w:eastAsia="Times New Roman" w:hAnsi="Times New Roman" w:cs="Times New Roman"/>
          <w:b/>
          <w:bCs/>
          <w:kern w:val="36"/>
          <w:sz w:val="36"/>
          <w:szCs w:val="36"/>
        </w:rPr>
        <w:t xml:space="preserve">, </w:t>
      </w:r>
      <w:hyperlink r:id="rId4" w:history="1">
        <w:r w:rsidRPr="003F6F8B">
          <w:rPr>
            <w:rFonts w:ascii="Times New Roman" w:eastAsia="Times New Roman" w:hAnsi="Times New Roman" w:cs="Times New Roman"/>
            <w:b/>
            <w:bCs/>
            <w:color w:val="0000FF"/>
            <w:kern w:val="36"/>
            <w:sz w:val="36"/>
            <w:szCs w:val="36"/>
            <w:u w:val="single"/>
          </w:rPr>
          <w:t>Nehemiah</w:t>
        </w:r>
      </w:hyperlink>
      <w:r w:rsidRPr="003F6F8B">
        <w:rPr>
          <w:rFonts w:ascii="Times New Roman" w:eastAsia="Times New Roman" w:hAnsi="Times New Roman" w:cs="Times New Roman"/>
          <w:b/>
          <w:bCs/>
          <w:kern w:val="36"/>
          <w:sz w:val="36"/>
          <w:szCs w:val="36"/>
        </w:rPr>
        <w:t xml:space="preserve">, and </w:t>
      </w:r>
      <w:hyperlink r:id="rId5" w:history="1">
        <w:r w:rsidRPr="003F6F8B">
          <w:rPr>
            <w:rFonts w:ascii="Times New Roman" w:eastAsia="Times New Roman" w:hAnsi="Times New Roman" w:cs="Times New Roman"/>
            <w:b/>
            <w:bCs/>
            <w:color w:val="0000FF"/>
            <w:kern w:val="36"/>
            <w:sz w:val="36"/>
            <w:szCs w:val="36"/>
            <w:u w:val="single"/>
          </w:rPr>
          <w:t>Chronicles</w:t>
        </w:r>
      </w:hyperlink>
    </w:p>
    <w:p w14:paraId="3DCB1326" w14:textId="77777777" w:rsidR="002A2249" w:rsidRPr="003F6F8B" w:rsidRDefault="002A2249" w:rsidP="002A2249">
      <w:pPr>
        <w:spacing w:before="100" w:beforeAutospacing="1" w:after="100" w:afterAutospacing="1" w:line="240" w:lineRule="auto"/>
        <w:rPr>
          <w:rFonts w:ascii="Times New Roman" w:eastAsia="Times New Roman" w:hAnsi="Times New Roman" w:cs="Times New Roman"/>
          <w:sz w:val="36"/>
          <w:szCs w:val="36"/>
        </w:rPr>
      </w:pPr>
      <w:r w:rsidRPr="003F6F8B">
        <w:rPr>
          <w:rFonts w:ascii="Times New Roman" w:eastAsia="Times New Roman" w:hAnsi="Times New Roman" w:cs="Times New Roman"/>
          <w:sz w:val="36"/>
          <w:szCs w:val="36"/>
        </w:rPr>
        <w:t xml:space="preserve">The final books of the </w:t>
      </w:r>
      <w:hyperlink r:id="rId6" w:history="1">
        <w:r w:rsidRPr="003F6F8B">
          <w:rPr>
            <w:rFonts w:ascii="Times New Roman" w:eastAsia="Times New Roman" w:hAnsi="Times New Roman" w:cs="Times New Roman"/>
            <w:color w:val="0000FF"/>
            <w:sz w:val="36"/>
            <w:szCs w:val="36"/>
            <w:u w:val="single"/>
          </w:rPr>
          <w:t>Hebrew Bible</w:t>
        </w:r>
      </w:hyperlink>
      <w:r w:rsidRPr="003F6F8B">
        <w:rPr>
          <w:rFonts w:ascii="Times New Roman" w:eastAsia="Times New Roman" w:hAnsi="Times New Roman" w:cs="Times New Roman"/>
          <w:sz w:val="36"/>
          <w:szCs w:val="36"/>
        </w:rPr>
        <w:t xml:space="preserve"> are the books of </w:t>
      </w:r>
      <w:hyperlink r:id="rId7" w:history="1">
        <w:r w:rsidRPr="003F6F8B">
          <w:rPr>
            <w:rFonts w:ascii="Times New Roman" w:eastAsia="Times New Roman" w:hAnsi="Times New Roman" w:cs="Times New Roman"/>
            <w:color w:val="0000FF"/>
            <w:sz w:val="36"/>
            <w:szCs w:val="36"/>
            <w:u w:val="single"/>
          </w:rPr>
          <w:t>Chronicles</w:t>
        </w:r>
      </w:hyperlink>
      <w:r w:rsidRPr="003F6F8B">
        <w:rPr>
          <w:rFonts w:ascii="Times New Roman" w:eastAsia="Times New Roman" w:hAnsi="Times New Roman" w:cs="Times New Roman"/>
          <w:sz w:val="36"/>
          <w:szCs w:val="36"/>
        </w:rPr>
        <w:t xml:space="preserve"> and </w:t>
      </w:r>
      <w:hyperlink r:id="rId8" w:history="1">
        <w:r w:rsidRPr="003F6F8B">
          <w:rPr>
            <w:rFonts w:ascii="Times New Roman" w:eastAsia="Times New Roman" w:hAnsi="Times New Roman" w:cs="Times New Roman"/>
            <w:color w:val="0000FF"/>
            <w:sz w:val="36"/>
            <w:szCs w:val="36"/>
            <w:u w:val="single"/>
          </w:rPr>
          <w:t>Ezra–Nehemiah</w:t>
        </w:r>
      </w:hyperlink>
      <w:r w:rsidRPr="003F6F8B">
        <w:rPr>
          <w:rFonts w:ascii="Times New Roman" w:eastAsia="Times New Roman" w:hAnsi="Times New Roman" w:cs="Times New Roman"/>
          <w:sz w:val="36"/>
          <w:szCs w:val="36"/>
        </w:rPr>
        <w:t xml:space="preserve">, which once formed a unitary history of Israel from </w:t>
      </w:r>
      <w:hyperlink r:id="rId9" w:history="1">
        <w:r w:rsidRPr="003F6F8B">
          <w:rPr>
            <w:rFonts w:ascii="Times New Roman" w:eastAsia="Times New Roman" w:hAnsi="Times New Roman" w:cs="Times New Roman"/>
            <w:color w:val="0000FF"/>
            <w:sz w:val="36"/>
            <w:szCs w:val="36"/>
            <w:u w:val="single"/>
          </w:rPr>
          <w:t>Adam</w:t>
        </w:r>
      </w:hyperlink>
      <w:r w:rsidRPr="003F6F8B">
        <w:rPr>
          <w:rFonts w:ascii="Times New Roman" w:eastAsia="Times New Roman" w:hAnsi="Times New Roman" w:cs="Times New Roman"/>
          <w:sz w:val="36"/>
          <w:szCs w:val="36"/>
        </w:rPr>
        <w:t xml:space="preserve"> to the 4th century </w:t>
      </w:r>
      <w:proofErr w:type="spellStart"/>
      <w:r w:rsidRPr="003F6F8B">
        <w:rPr>
          <w:rFonts w:ascii="Times New Roman" w:eastAsia="Times New Roman" w:hAnsi="Times New Roman" w:cs="Times New Roman"/>
          <w:sz w:val="36"/>
          <w:szCs w:val="36"/>
        </w:rPr>
        <w:t>bce</w:t>
      </w:r>
      <w:proofErr w:type="spellEnd"/>
      <w:r w:rsidRPr="003F6F8B">
        <w:rPr>
          <w:rFonts w:ascii="Times New Roman" w:eastAsia="Times New Roman" w:hAnsi="Times New Roman" w:cs="Times New Roman"/>
          <w:sz w:val="36"/>
          <w:szCs w:val="36"/>
        </w:rPr>
        <w:t xml:space="preserve">, written by an anonymous Chronicler. That these books </w:t>
      </w:r>
      <w:hyperlink r:id="rId10" w:history="1">
        <w:r w:rsidRPr="003F6F8B">
          <w:rPr>
            <w:rFonts w:ascii="Times New Roman" w:eastAsia="Times New Roman" w:hAnsi="Times New Roman" w:cs="Times New Roman"/>
            <w:color w:val="0000FF"/>
            <w:sz w:val="36"/>
            <w:szCs w:val="36"/>
            <w:u w:val="single"/>
          </w:rPr>
          <w:t>constituted</w:t>
        </w:r>
      </w:hyperlink>
      <w:r w:rsidRPr="003F6F8B">
        <w:rPr>
          <w:rFonts w:ascii="Times New Roman" w:eastAsia="Times New Roman" w:hAnsi="Times New Roman" w:cs="Times New Roman"/>
          <w:sz w:val="36"/>
          <w:szCs w:val="36"/>
        </w:rPr>
        <w:t xml:space="preserve"> a single work—referred to as the Chronicler’s history, in distinction to the Deuteronomic history and the elements of history from the priestly code of the </w:t>
      </w:r>
      <w:hyperlink r:id="rId11" w:history="1">
        <w:r w:rsidRPr="003F6F8B">
          <w:rPr>
            <w:rFonts w:ascii="Times New Roman" w:eastAsia="Times New Roman" w:hAnsi="Times New Roman" w:cs="Times New Roman"/>
            <w:color w:val="0000FF"/>
            <w:sz w:val="36"/>
            <w:szCs w:val="36"/>
            <w:u w:val="single"/>
          </w:rPr>
          <w:t>Torah</w:t>
        </w:r>
      </w:hyperlink>
      <w:r w:rsidRPr="003F6F8B">
        <w:rPr>
          <w:rFonts w:ascii="Times New Roman" w:eastAsia="Times New Roman" w:hAnsi="Times New Roman" w:cs="Times New Roman"/>
          <w:sz w:val="36"/>
          <w:szCs w:val="36"/>
        </w:rPr>
        <w:t xml:space="preserve">—appears evident because the same language, style, and fundamental ideas are found throughout and because the concluding verses of II Chronicles are repeated at the beginning of Ezra. The purpose of this history seems to have been to trace the origin of the Temple and to show the antiquity and authenticity of its cult and of the formal, legalistic type of </w:t>
      </w:r>
      <w:hyperlink r:id="rId12" w:history="1">
        <w:r w:rsidRPr="003F6F8B">
          <w:rPr>
            <w:rFonts w:ascii="Times New Roman" w:eastAsia="Times New Roman" w:hAnsi="Times New Roman" w:cs="Times New Roman"/>
            <w:color w:val="0000FF"/>
            <w:sz w:val="36"/>
            <w:szCs w:val="36"/>
            <w:u w:val="single"/>
          </w:rPr>
          <w:t>religion</w:t>
        </w:r>
      </w:hyperlink>
      <w:r w:rsidRPr="003F6F8B">
        <w:rPr>
          <w:rFonts w:ascii="Times New Roman" w:eastAsia="Times New Roman" w:hAnsi="Times New Roman" w:cs="Times New Roman"/>
          <w:sz w:val="36"/>
          <w:szCs w:val="36"/>
        </w:rPr>
        <w:t xml:space="preserve"> that dominated later Judaism.</w:t>
      </w:r>
    </w:p>
    <w:p w14:paraId="32AA61A3" w14:textId="77777777" w:rsidR="002A2249" w:rsidRPr="003F6F8B" w:rsidRDefault="002A2249" w:rsidP="002A2249">
      <w:pPr>
        <w:spacing w:before="100" w:beforeAutospacing="1" w:after="100" w:afterAutospacing="1" w:line="240" w:lineRule="auto"/>
        <w:rPr>
          <w:rFonts w:ascii="Times New Roman" w:eastAsia="Times New Roman" w:hAnsi="Times New Roman" w:cs="Times New Roman"/>
          <w:sz w:val="36"/>
          <w:szCs w:val="36"/>
        </w:rPr>
      </w:pPr>
      <w:r w:rsidRPr="003F6F8B">
        <w:rPr>
          <w:rFonts w:ascii="Times New Roman" w:eastAsia="Times New Roman" w:hAnsi="Times New Roman" w:cs="Times New Roman"/>
          <w:sz w:val="36"/>
          <w:szCs w:val="36"/>
        </w:rPr>
        <w:t xml:space="preserve">The history that these books record has already been treated in the historical section of this article and is found in greater detail in </w:t>
      </w:r>
      <w:hyperlink r:id="rId13" w:history="1">
        <w:r w:rsidRPr="003F6F8B">
          <w:rPr>
            <w:rFonts w:ascii="Times New Roman" w:eastAsia="Times New Roman" w:hAnsi="Times New Roman" w:cs="Times New Roman"/>
            <w:color w:val="0000FF"/>
            <w:sz w:val="36"/>
            <w:szCs w:val="36"/>
            <w:u w:val="single"/>
          </w:rPr>
          <w:t>Judaism</w:t>
        </w:r>
      </w:hyperlink>
      <w:r w:rsidRPr="003F6F8B">
        <w:rPr>
          <w:rFonts w:ascii="Times New Roman" w:eastAsia="Times New Roman" w:hAnsi="Times New Roman" w:cs="Times New Roman"/>
          <w:sz w:val="36"/>
          <w:szCs w:val="36"/>
        </w:rPr>
        <w:t xml:space="preserve">. The concern in this section will be chiefly with the literary and theological aspects of the books, but their contents can be summarized. In I and II Chronicles the author repeats much of the material from earlier historical books, concentrating upon the history of the kingdom of Judah. The First Book of the Chronicles begins with an extensive genealogy of Israel from Adam to the restoration but is primarily a biography of David that adds further facts to the story as given in </w:t>
      </w:r>
      <w:hyperlink r:id="rId14" w:history="1">
        <w:r w:rsidRPr="003F6F8B">
          <w:rPr>
            <w:rFonts w:ascii="Times New Roman" w:eastAsia="Times New Roman" w:hAnsi="Times New Roman" w:cs="Times New Roman"/>
            <w:color w:val="0000FF"/>
            <w:sz w:val="36"/>
            <w:szCs w:val="36"/>
            <w:u w:val="single"/>
          </w:rPr>
          <w:t>Samuel</w:t>
        </w:r>
      </w:hyperlink>
      <w:r w:rsidRPr="003F6F8B">
        <w:rPr>
          <w:rFonts w:ascii="Times New Roman" w:eastAsia="Times New Roman" w:hAnsi="Times New Roman" w:cs="Times New Roman"/>
          <w:sz w:val="36"/>
          <w:szCs w:val="36"/>
        </w:rPr>
        <w:t xml:space="preserve">. The Second Book of the Chronicles begins with Solomon and goes through the division of the kingdom to the reign of </w:t>
      </w:r>
      <w:hyperlink r:id="rId15" w:history="1">
        <w:r w:rsidRPr="003F6F8B">
          <w:rPr>
            <w:rFonts w:ascii="Times New Roman" w:eastAsia="Times New Roman" w:hAnsi="Times New Roman" w:cs="Times New Roman"/>
            <w:color w:val="0000FF"/>
            <w:sz w:val="36"/>
            <w:szCs w:val="36"/>
            <w:u w:val="single"/>
          </w:rPr>
          <w:t>Zedekiah</w:t>
        </w:r>
      </w:hyperlink>
      <w:r w:rsidRPr="003F6F8B">
        <w:rPr>
          <w:rFonts w:ascii="Times New Roman" w:eastAsia="Times New Roman" w:hAnsi="Times New Roman" w:cs="Times New Roman"/>
          <w:sz w:val="36"/>
          <w:szCs w:val="36"/>
        </w:rPr>
        <w:t xml:space="preserve">; once again the Chronicler had access to materials that supplemented the account in </w:t>
      </w:r>
      <w:hyperlink r:id="rId16" w:history="1">
        <w:r w:rsidRPr="003F6F8B">
          <w:rPr>
            <w:rFonts w:ascii="Times New Roman" w:eastAsia="Times New Roman" w:hAnsi="Times New Roman" w:cs="Times New Roman"/>
            <w:color w:val="0000FF"/>
            <w:sz w:val="36"/>
            <w:szCs w:val="36"/>
            <w:u w:val="single"/>
          </w:rPr>
          <w:t>I and II Kings</w:t>
        </w:r>
      </w:hyperlink>
      <w:r w:rsidRPr="003F6F8B">
        <w:rPr>
          <w:rFonts w:ascii="Times New Roman" w:eastAsia="Times New Roman" w:hAnsi="Times New Roman" w:cs="Times New Roman"/>
          <w:sz w:val="36"/>
          <w:szCs w:val="36"/>
        </w:rPr>
        <w:t xml:space="preserve">. In the </w:t>
      </w:r>
      <w:hyperlink r:id="rId17" w:history="1">
        <w:r w:rsidRPr="003F6F8B">
          <w:rPr>
            <w:rFonts w:ascii="Times New Roman" w:eastAsia="Times New Roman" w:hAnsi="Times New Roman" w:cs="Times New Roman"/>
            <w:color w:val="0000FF"/>
            <w:sz w:val="36"/>
            <w:szCs w:val="36"/>
            <w:u w:val="single"/>
          </w:rPr>
          <w:t>Book of Ezra</w:t>
        </w:r>
      </w:hyperlink>
      <w:r w:rsidRPr="003F6F8B">
        <w:rPr>
          <w:rFonts w:ascii="Times New Roman" w:eastAsia="Times New Roman" w:hAnsi="Times New Roman" w:cs="Times New Roman"/>
          <w:sz w:val="36"/>
          <w:szCs w:val="36"/>
        </w:rPr>
        <w:t xml:space="preserve"> he describes the return of the Jews from the </w:t>
      </w:r>
      <w:hyperlink r:id="rId18" w:history="1">
        <w:r w:rsidRPr="003F6F8B">
          <w:rPr>
            <w:rFonts w:ascii="Times New Roman" w:eastAsia="Times New Roman" w:hAnsi="Times New Roman" w:cs="Times New Roman"/>
            <w:color w:val="0000FF"/>
            <w:sz w:val="36"/>
            <w:szCs w:val="36"/>
            <w:u w:val="single"/>
          </w:rPr>
          <w:t>Babylonian Exile</w:t>
        </w:r>
      </w:hyperlink>
      <w:r w:rsidRPr="003F6F8B">
        <w:rPr>
          <w:rFonts w:ascii="Times New Roman" w:eastAsia="Times New Roman" w:hAnsi="Times New Roman" w:cs="Times New Roman"/>
          <w:sz w:val="36"/>
          <w:szCs w:val="36"/>
        </w:rPr>
        <w:t xml:space="preserve"> </w:t>
      </w:r>
      <w:r w:rsidRPr="003F6F8B">
        <w:rPr>
          <w:rFonts w:ascii="Times New Roman" w:eastAsia="Times New Roman" w:hAnsi="Times New Roman" w:cs="Times New Roman"/>
          <w:sz w:val="36"/>
          <w:szCs w:val="36"/>
        </w:rPr>
        <w:lastRenderedPageBreak/>
        <w:t xml:space="preserve">and the reconstruction of the Temple. He includes lists of the families who returned and the texts of the decrees under which they returned. In the Book of </w:t>
      </w:r>
      <w:hyperlink r:id="rId19" w:history="1">
        <w:r w:rsidRPr="003F6F8B">
          <w:rPr>
            <w:rFonts w:ascii="Times New Roman" w:eastAsia="Times New Roman" w:hAnsi="Times New Roman" w:cs="Times New Roman"/>
            <w:color w:val="0000FF"/>
            <w:sz w:val="36"/>
            <w:szCs w:val="36"/>
            <w:u w:val="single"/>
          </w:rPr>
          <w:t>Nehemiah</w:t>
        </w:r>
      </w:hyperlink>
      <w:r w:rsidRPr="003F6F8B">
        <w:rPr>
          <w:rFonts w:ascii="Times New Roman" w:eastAsia="Times New Roman" w:hAnsi="Times New Roman" w:cs="Times New Roman"/>
          <w:sz w:val="36"/>
          <w:szCs w:val="36"/>
        </w:rPr>
        <w:t xml:space="preserve"> the reconstruction of the city walls of Jerusalem becomes the basis for a meditation upon the relation between God and his people. This book, too, contains lists of those who participated in the reconstruction, but much of it concentrates upon the description of Nehemiah and his persistence in performing his assignment.</w:t>
      </w:r>
    </w:p>
    <w:p w14:paraId="4D7072F8" w14:textId="77777777" w:rsidR="002A2249" w:rsidRPr="003F6F8B" w:rsidRDefault="002A2249" w:rsidP="002A2249">
      <w:pPr>
        <w:spacing w:before="100" w:beforeAutospacing="1" w:after="100" w:afterAutospacing="1" w:line="240" w:lineRule="auto"/>
        <w:rPr>
          <w:rFonts w:ascii="Times New Roman" w:eastAsia="Times New Roman" w:hAnsi="Times New Roman" w:cs="Times New Roman"/>
          <w:sz w:val="36"/>
          <w:szCs w:val="36"/>
        </w:rPr>
      </w:pPr>
      <w:r w:rsidRPr="003F6F8B">
        <w:rPr>
          <w:rFonts w:ascii="Times New Roman" w:eastAsia="Times New Roman" w:hAnsi="Times New Roman" w:cs="Times New Roman"/>
          <w:sz w:val="36"/>
          <w:szCs w:val="36"/>
        </w:rPr>
        <w:t xml:space="preserve">The fourfold division of the books derives from the </w:t>
      </w:r>
      <w:hyperlink r:id="rId20" w:history="1">
        <w:r w:rsidRPr="003F6F8B">
          <w:rPr>
            <w:rFonts w:ascii="Times New Roman" w:eastAsia="Times New Roman" w:hAnsi="Times New Roman" w:cs="Times New Roman"/>
            <w:color w:val="0000FF"/>
            <w:sz w:val="36"/>
            <w:szCs w:val="36"/>
            <w:u w:val="single"/>
          </w:rPr>
          <w:t>Greek</w:t>
        </w:r>
      </w:hyperlink>
      <w:r w:rsidRPr="003F6F8B">
        <w:rPr>
          <w:rFonts w:ascii="Times New Roman" w:eastAsia="Times New Roman" w:hAnsi="Times New Roman" w:cs="Times New Roman"/>
          <w:sz w:val="36"/>
          <w:szCs w:val="36"/>
        </w:rPr>
        <w:t xml:space="preserve"> and </w:t>
      </w:r>
      <w:hyperlink r:id="rId21" w:history="1">
        <w:r w:rsidRPr="003F6F8B">
          <w:rPr>
            <w:rFonts w:ascii="Times New Roman" w:eastAsia="Times New Roman" w:hAnsi="Times New Roman" w:cs="Times New Roman"/>
            <w:color w:val="0000FF"/>
            <w:sz w:val="36"/>
            <w:szCs w:val="36"/>
            <w:u w:val="single"/>
          </w:rPr>
          <w:t>Latin</w:t>
        </w:r>
      </w:hyperlink>
      <w:r w:rsidRPr="003F6F8B">
        <w:rPr>
          <w:rFonts w:ascii="Times New Roman" w:eastAsia="Times New Roman" w:hAnsi="Times New Roman" w:cs="Times New Roman"/>
          <w:sz w:val="36"/>
          <w:szCs w:val="36"/>
        </w:rPr>
        <w:t xml:space="preserve"> versions; the more basic twofold division into Chronicles and Ezra–Nehemiah is more complex. This original division apparently resulted from the inclusion of the material known as Ezra–Nehemiah in the Hebrew canon before that known as Chronicles because it contained fresh information not found in any other </w:t>
      </w:r>
      <w:hyperlink r:id="rId22" w:history="1">
        <w:r w:rsidRPr="003F6F8B">
          <w:rPr>
            <w:rFonts w:ascii="Times New Roman" w:eastAsia="Times New Roman" w:hAnsi="Times New Roman" w:cs="Times New Roman"/>
            <w:color w:val="0000FF"/>
            <w:sz w:val="36"/>
            <w:szCs w:val="36"/>
            <w:u w:val="single"/>
          </w:rPr>
          <w:t>canonical</w:t>
        </w:r>
      </w:hyperlink>
      <w:r w:rsidRPr="003F6F8B">
        <w:rPr>
          <w:rFonts w:ascii="Times New Roman" w:eastAsia="Times New Roman" w:hAnsi="Times New Roman" w:cs="Times New Roman"/>
          <w:sz w:val="36"/>
          <w:szCs w:val="36"/>
        </w:rPr>
        <w:t xml:space="preserve"> book. When Chronicles was later admitted to the canon, it was placed in order after Ezra–Nehemiah; although the book has retained this position in the Hebrew Bible, the Greek version restored it to its proper sequence. That Chronicles was thus “left aside” may account for the choice of </w:t>
      </w:r>
      <w:proofErr w:type="spellStart"/>
      <w:r w:rsidRPr="003F6F8B">
        <w:rPr>
          <w:rFonts w:ascii="Times New Roman" w:eastAsia="Times New Roman" w:hAnsi="Times New Roman" w:cs="Times New Roman"/>
          <w:i/>
          <w:iCs/>
          <w:sz w:val="36"/>
          <w:szCs w:val="36"/>
        </w:rPr>
        <w:t>Paraleipomena</w:t>
      </w:r>
      <w:proofErr w:type="spellEnd"/>
      <w:r w:rsidRPr="003F6F8B">
        <w:rPr>
          <w:rFonts w:ascii="Times New Roman" w:eastAsia="Times New Roman" w:hAnsi="Times New Roman" w:cs="Times New Roman"/>
          <w:sz w:val="36"/>
          <w:szCs w:val="36"/>
        </w:rPr>
        <w:t xml:space="preserve"> (“Things Omitted”) as the Greek title of the book, but the usual and perhaps correct explanation is that Chronicles contains stories, speeches, and observations that were omitted from the parallel accounts in earlier books.</w:t>
      </w:r>
    </w:p>
    <w:p w14:paraId="6DF77C3E" w14:textId="77777777" w:rsidR="002A2249" w:rsidRPr="003F6F8B" w:rsidRDefault="002A2249" w:rsidP="002A2249">
      <w:pPr>
        <w:spacing w:before="100" w:beforeAutospacing="1" w:after="100" w:afterAutospacing="1" w:line="240" w:lineRule="auto"/>
        <w:rPr>
          <w:rFonts w:ascii="Times New Roman" w:eastAsia="Times New Roman" w:hAnsi="Times New Roman" w:cs="Times New Roman"/>
          <w:sz w:val="36"/>
          <w:szCs w:val="36"/>
        </w:rPr>
      </w:pPr>
      <w:r w:rsidRPr="003F6F8B">
        <w:rPr>
          <w:rFonts w:ascii="Times New Roman" w:eastAsia="Times New Roman" w:hAnsi="Times New Roman" w:cs="Times New Roman"/>
          <w:sz w:val="36"/>
          <w:szCs w:val="36"/>
        </w:rPr>
        <w:t xml:space="preserve">Jewish tradition has identified </w:t>
      </w:r>
      <w:hyperlink r:id="rId23" w:history="1">
        <w:r w:rsidRPr="003F6F8B">
          <w:rPr>
            <w:rFonts w:ascii="Times New Roman" w:eastAsia="Times New Roman" w:hAnsi="Times New Roman" w:cs="Times New Roman"/>
            <w:color w:val="0000FF"/>
            <w:sz w:val="36"/>
            <w:szCs w:val="36"/>
            <w:u w:val="single"/>
          </w:rPr>
          <w:t>Ezra</w:t>
        </w:r>
      </w:hyperlink>
      <w:r w:rsidRPr="003F6F8B">
        <w:rPr>
          <w:rFonts w:ascii="Times New Roman" w:eastAsia="Times New Roman" w:hAnsi="Times New Roman" w:cs="Times New Roman"/>
          <w:sz w:val="36"/>
          <w:szCs w:val="36"/>
        </w:rPr>
        <w:t xml:space="preserve"> as the author of these books, and some modern scholars </w:t>
      </w:r>
      <w:hyperlink r:id="rId24" w:history="1">
        <w:r w:rsidRPr="003F6F8B">
          <w:rPr>
            <w:rFonts w:ascii="Times New Roman" w:eastAsia="Times New Roman" w:hAnsi="Times New Roman" w:cs="Times New Roman"/>
            <w:color w:val="0000FF"/>
            <w:sz w:val="36"/>
            <w:szCs w:val="36"/>
            <w:u w:val="single"/>
          </w:rPr>
          <w:t>concur</w:t>
        </w:r>
      </w:hyperlink>
      <w:r w:rsidRPr="003F6F8B">
        <w:rPr>
          <w:rFonts w:ascii="Times New Roman" w:eastAsia="Times New Roman" w:hAnsi="Times New Roman" w:cs="Times New Roman"/>
          <w:sz w:val="36"/>
          <w:szCs w:val="36"/>
        </w:rPr>
        <w:t xml:space="preserve">. According to many critics, however, the Chronicler was a Levite </w:t>
      </w:r>
      <w:hyperlink r:id="rId25" w:history="1">
        <w:r w:rsidRPr="003F6F8B">
          <w:rPr>
            <w:rFonts w:ascii="Times New Roman" w:eastAsia="Times New Roman" w:hAnsi="Times New Roman" w:cs="Times New Roman"/>
            <w:color w:val="0000FF"/>
            <w:sz w:val="36"/>
            <w:szCs w:val="36"/>
            <w:u w:val="single"/>
          </w:rPr>
          <w:t>cantor</w:t>
        </w:r>
      </w:hyperlink>
      <w:r w:rsidRPr="003F6F8B">
        <w:rPr>
          <w:rFonts w:ascii="Times New Roman" w:eastAsia="Times New Roman" w:hAnsi="Times New Roman" w:cs="Times New Roman"/>
          <w:sz w:val="36"/>
          <w:szCs w:val="36"/>
        </w:rPr>
        <w:t xml:space="preserve"> in Jerusalem. This position is supported by the author’s concern with the Levites and cultic musicians. The date of the work is more difficult to pinpoint. In its final form it has to be later than Ezra, who came to Judah about 400 </w:t>
      </w:r>
      <w:proofErr w:type="spellStart"/>
      <w:r w:rsidRPr="003F6F8B">
        <w:rPr>
          <w:rFonts w:ascii="Times New Roman" w:eastAsia="Times New Roman" w:hAnsi="Times New Roman" w:cs="Times New Roman"/>
          <w:sz w:val="36"/>
          <w:szCs w:val="36"/>
        </w:rPr>
        <w:t>bce</w:t>
      </w:r>
      <w:proofErr w:type="spellEnd"/>
      <w:r w:rsidRPr="003F6F8B">
        <w:rPr>
          <w:rFonts w:ascii="Times New Roman" w:eastAsia="Times New Roman" w:hAnsi="Times New Roman" w:cs="Times New Roman"/>
          <w:sz w:val="36"/>
          <w:szCs w:val="36"/>
        </w:rPr>
        <w:t xml:space="preserve">. An indication of the latest date at which the entire work could have been completed is its silence about the Hellenizing of Judaism that took place after </w:t>
      </w:r>
      <w:hyperlink r:id="rId26" w:history="1">
        <w:r w:rsidRPr="003F6F8B">
          <w:rPr>
            <w:rFonts w:ascii="Times New Roman" w:eastAsia="Times New Roman" w:hAnsi="Times New Roman" w:cs="Times New Roman"/>
            <w:color w:val="0000FF"/>
            <w:sz w:val="36"/>
            <w:szCs w:val="36"/>
            <w:u w:val="single"/>
          </w:rPr>
          <w:t>Alexander the Great</w:t>
        </w:r>
      </w:hyperlink>
      <w:r w:rsidRPr="003F6F8B">
        <w:rPr>
          <w:rFonts w:ascii="Times New Roman" w:eastAsia="Times New Roman" w:hAnsi="Times New Roman" w:cs="Times New Roman"/>
          <w:sz w:val="36"/>
          <w:szCs w:val="36"/>
        </w:rPr>
        <w:t xml:space="preserve">. This, together with language considerations that point to the late Persian period, has led the majority of commentators to postulate a 4th-century date. Some scholars, however, claim that a time before 300 </w:t>
      </w:r>
      <w:proofErr w:type="spellStart"/>
      <w:r w:rsidRPr="003F6F8B">
        <w:rPr>
          <w:rFonts w:ascii="Times New Roman" w:eastAsia="Times New Roman" w:hAnsi="Times New Roman" w:cs="Times New Roman"/>
          <w:sz w:val="36"/>
          <w:szCs w:val="36"/>
        </w:rPr>
        <w:t>bce</w:t>
      </w:r>
      <w:proofErr w:type="spellEnd"/>
      <w:r w:rsidRPr="003F6F8B">
        <w:rPr>
          <w:rFonts w:ascii="Times New Roman" w:eastAsia="Times New Roman" w:hAnsi="Times New Roman" w:cs="Times New Roman"/>
          <w:sz w:val="36"/>
          <w:szCs w:val="36"/>
        </w:rPr>
        <w:t xml:space="preserve"> would be too short to account for the genealogy at the beginning of I Chronicles, which is carried down to the eighth generation after </w:t>
      </w:r>
      <w:hyperlink r:id="rId27" w:history="1">
        <w:r w:rsidRPr="003F6F8B">
          <w:rPr>
            <w:rFonts w:ascii="Times New Roman" w:eastAsia="Times New Roman" w:hAnsi="Times New Roman" w:cs="Times New Roman"/>
            <w:color w:val="0000FF"/>
            <w:sz w:val="36"/>
            <w:szCs w:val="36"/>
            <w:u w:val="single"/>
          </w:rPr>
          <w:t>Zerubbabel</w:t>
        </w:r>
      </w:hyperlink>
      <w:r w:rsidRPr="003F6F8B">
        <w:rPr>
          <w:rFonts w:ascii="Times New Roman" w:eastAsia="Times New Roman" w:hAnsi="Times New Roman" w:cs="Times New Roman"/>
          <w:sz w:val="36"/>
          <w:szCs w:val="36"/>
        </w:rPr>
        <w:t xml:space="preserve">, one of the leaders of the band that returned from Babylon. Thus, they push the final date to about 200 </w:t>
      </w:r>
      <w:proofErr w:type="spellStart"/>
      <w:r w:rsidRPr="003F6F8B">
        <w:rPr>
          <w:rFonts w:ascii="Times New Roman" w:eastAsia="Times New Roman" w:hAnsi="Times New Roman" w:cs="Times New Roman"/>
          <w:sz w:val="36"/>
          <w:szCs w:val="36"/>
        </w:rPr>
        <w:t>bce</w:t>
      </w:r>
      <w:proofErr w:type="spellEnd"/>
      <w:r w:rsidRPr="003F6F8B">
        <w:rPr>
          <w:rFonts w:ascii="Times New Roman" w:eastAsia="Times New Roman" w:hAnsi="Times New Roman" w:cs="Times New Roman"/>
          <w:sz w:val="36"/>
          <w:szCs w:val="36"/>
        </w:rPr>
        <w:t xml:space="preserve"> or even slightly later. It is possible that the 4th-century work of the Chronicler went through a series of minor additions and </w:t>
      </w:r>
      <w:hyperlink r:id="rId28" w:history="1">
        <w:r w:rsidRPr="003F6F8B">
          <w:rPr>
            <w:rFonts w:ascii="Times New Roman" w:eastAsia="Times New Roman" w:hAnsi="Times New Roman" w:cs="Times New Roman"/>
            <w:color w:val="0000FF"/>
            <w:sz w:val="36"/>
            <w:szCs w:val="36"/>
            <w:u w:val="single"/>
          </w:rPr>
          <w:t>adaptations</w:t>
        </w:r>
      </w:hyperlink>
      <w:r w:rsidRPr="003F6F8B">
        <w:rPr>
          <w:rFonts w:ascii="Times New Roman" w:eastAsia="Times New Roman" w:hAnsi="Times New Roman" w:cs="Times New Roman"/>
          <w:sz w:val="36"/>
          <w:szCs w:val="36"/>
        </w:rPr>
        <w:t xml:space="preserve"> until sometime early in the 2nd century, when it reached its final form.</w:t>
      </w:r>
    </w:p>
    <w:p w14:paraId="4A6642CB" w14:textId="77777777" w:rsidR="002A2249" w:rsidRPr="003F6F8B" w:rsidRDefault="002A2249" w:rsidP="002A2249">
      <w:pPr>
        <w:spacing w:before="100" w:beforeAutospacing="1" w:after="100" w:afterAutospacing="1" w:line="240" w:lineRule="auto"/>
        <w:rPr>
          <w:rFonts w:ascii="Times New Roman" w:eastAsia="Times New Roman" w:hAnsi="Times New Roman" w:cs="Times New Roman"/>
          <w:sz w:val="36"/>
          <w:szCs w:val="36"/>
        </w:rPr>
      </w:pPr>
      <w:r w:rsidRPr="003F6F8B">
        <w:rPr>
          <w:rFonts w:ascii="Times New Roman" w:eastAsia="Times New Roman" w:hAnsi="Times New Roman" w:cs="Times New Roman"/>
          <w:sz w:val="36"/>
          <w:szCs w:val="36"/>
        </w:rPr>
        <w:t xml:space="preserve">The Chronicler had numerous historical sources—both biblical and extrabiblical—at his disposal. He was closely dependent on the books of Samuel and Kings for all of Chronicles except the first nine chapters. Sometimes he even repeated the actual words of his model, though slight textual variations suggest to some that the Hebrew copy he had before him differed a little from that of the canon and corresponded to that which lay behind the </w:t>
      </w:r>
      <w:hyperlink r:id="rId29" w:history="1">
        <w:r w:rsidRPr="003F6F8B">
          <w:rPr>
            <w:rFonts w:ascii="Times New Roman" w:eastAsia="Times New Roman" w:hAnsi="Times New Roman" w:cs="Times New Roman"/>
            <w:color w:val="0000FF"/>
            <w:sz w:val="36"/>
            <w:szCs w:val="36"/>
            <w:u w:val="single"/>
          </w:rPr>
          <w:t>Septuagint</w:t>
        </w:r>
      </w:hyperlink>
      <w:r w:rsidRPr="003F6F8B">
        <w:rPr>
          <w:rFonts w:ascii="Times New Roman" w:eastAsia="Times New Roman" w:hAnsi="Times New Roman" w:cs="Times New Roman"/>
          <w:sz w:val="36"/>
          <w:szCs w:val="36"/>
        </w:rPr>
        <w:t xml:space="preserve">. But he was also able to consult the final version of the </w:t>
      </w:r>
      <w:hyperlink r:id="rId30" w:history="1">
        <w:r w:rsidRPr="003F6F8B">
          <w:rPr>
            <w:rFonts w:ascii="Times New Roman" w:eastAsia="Times New Roman" w:hAnsi="Times New Roman" w:cs="Times New Roman"/>
            <w:color w:val="0000FF"/>
            <w:sz w:val="36"/>
            <w:szCs w:val="36"/>
            <w:u w:val="single"/>
          </w:rPr>
          <w:t>Torah</w:t>
        </w:r>
      </w:hyperlink>
      <w:r w:rsidRPr="003F6F8B">
        <w:rPr>
          <w:rFonts w:ascii="Times New Roman" w:eastAsia="Times New Roman" w:hAnsi="Times New Roman" w:cs="Times New Roman"/>
          <w:sz w:val="36"/>
          <w:szCs w:val="36"/>
        </w:rPr>
        <w:t xml:space="preserve"> and the whole of the Deuteronomic history. His use of the personal memoirs of Nehemiah is undisputed; the nature of his Ezra source is less clear, but some have regarded a portion of narrative written in the first person as an autobiographical source. He included many lists, genealogies, census reports, and other official documents that may have been preserved as Temple records. The text refers by name to certain documents representing royal histories and prophetic writings about which, as they have not survived, only speculation is possible.</w:t>
      </w:r>
    </w:p>
    <w:p w14:paraId="501D51B8" w14:textId="77777777" w:rsidR="002A2249" w:rsidRPr="003F6F8B" w:rsidRDefault="002A2249" w:rsidP="002A2249">
      <w:pPr>
        <w:spacing w:before="100" w:beforeAutospacing="1" w:after="100" w:afterAutospacing="1" w:line="240" w:lineRule="auto"/>
        <w:rPr>
          <w:rFonts w:ascii="Times New Roman" w:eastAsia="Times New Roman" w:hAnsi="Times New Roman" w:cs="Times New Roman"/>
          <w:sz w:val="36"/>
          <w:szCs w:val="36"/>
        </w:rPr>
      </w:pPr>
      <w:r w:rsidRPr="003F6F8B">
        <w:rPr>
          <w:rFonts w:ascii="Times New Roman" w:eastAsia="Times New Roman" w:hAnsi="Times New Roman" w:cs="Times New Roman"/>
          <w:sz w:val="36"/>
          <w:szCs w:val="36"/>
        </w:rPr>
        <w:t xml:space="preserve">The Chronicler used all these sources, but was not shackled by them. Although his work has won increasing respect as a historical document, especially as an indispensable source for the restoration period, his purpose was chiefly theological. He was convinced of the definitiveness of the divine </w:t>
      </w:r>
      <w:hyperlink r:id="rId31" w:history="1">
        <w:r w:rsidRPr="003F6F8B">
          <w:rPr>
            <w:rFonts w:ascii="Times New Roman" w:eastAsia="Times New Roman" w:hAnsi="Times New Roman" w:cs="Times New Roman"/>
            <w:color w:val="0000FF"/>
            <w:sz w:val="36"/>
            <w:szCs w:val="36"/>
            <w:u w:val="single"/>
          </w:rPr>
          <w:t>covenant</w:t>
        </w:r>
      </w:hyperlink>
      <w:r w:rsidRPr="003F6F8B">
        <w:rPr>
          <w:rFonts w:ascii="Times New Roman" w:eastAsia="Times New Roman" w:hAnsi="Times New Roman" w:cs="Times New Roman"/>
          <w:sz w:val="36"/>
          <w:szCs w:val="36"/>
        </w:rPr>
        <w:t xml:space="preserve"> with </w:t>
      </w:r>
      <w:hyperlink r:id="rId32" w:history="1">
        <w:r w:rsidRPr="003F6F8B">
          <w:rPr>
            <w:rFonts w:ascii="Times New Roman" w:eastAsia="Times New Roman" w:hAnsi="Times New Roman" w:cs="Times New Roman"/>
            <w:color w:val="0000FF"/>
            <w:sz w:val="36"/>
            <w:szCs w:val="36"/>
            <w:u w:val="single"/>
          </w:rPr>
          <w:t>David</w:t>
        </w:r>
      </w:hyperlink>
      <w:r w:rsidRPr="003F6F8B">
        <w:rPr>
          <w:rFonts w:ascii="Times New Roman" w:eastAsia="Times New Roman" w:hAnsi="Times New Roman" w:cs="Times New Roman"/>
          <w:sz w:val="36"/>
          <w:szCs w:val="36"/>
        </w:rPr>
        <w:t xml:space="preserve">. The holy </w:t>
      </w:r>
      <w:hyperlink r:id="rId33" w:history="1">
        <w:r w:rsidRPr="003F6F8B">
          <w:rPr>
            <w:rFonts w:ascii="Times New Roman" w:eastAsia="Times New Roman" w:hAnsi="Times New Roman" w:cs="Times New Roman"/>
            <w:color w:val="0000FF"/>
            <w:sz w:val="36"/>
            <w:szCs w:val="36"/>
            <w:u w:val="single"/>
          </w:rPr>
          <w:t>community</w:t>
        </w:r>
      </w:hyperlink>
      <w:r w:rsidRPr="003F6F8B">
        <w:rPr>
          <w:rFonts w:ascii="Times New Roman" w:eastAsia="Times New Roman" w:hAnsi="Times New Roman" w:cs="Times New Roman"/>
          <w:sz w:val="36"/>
          <w:szCs w:val="36"/>
        </w:rPr>
        <w:t xml:space="preserve"> that was brought into existence by this </w:t>
      </w:r>
      <w:hyperlink r:id="rId34" w:history="1">
        <w:r w:rsidRPr="003F6F8B">
          <w:rPr>
            <w:rFonts w:ascii="Times New Roman" w:eastAsia="Times New Roman" w:hAnsi="Times New Roman" w:cs="Times New Roman"/>
            <w:color w:val="0000FF"/>
            <w:sz w:val="36"/>
            <w:szCs w:val="36"/>
            <w:u w:val="single"/>
          </w:rPr>
          <w:t>covenant</w:t>
        </w:r>
      </w:hyperlink>
      <w:r w:rsidRPr="003F6F8B">
        <w:rPr>
          <w:rFonts w:ascii="Times New Roman" w:eastAsia="Times New Roman" w:hAnsi="Times New Roman" w:cs="Times New Roman"/>
          <w:sz w:val="36"/>
          <w:szCs w:val="36"/>
        </w:rPr>
        <w:t xml:space="preserve">, maintained by God through the </w:t>
      </w:r>
      <w:hyperlink r:id="rId35" w:history="1">
        <w:r w:rsidRPr="003F6F8B">
          <w:rPr>
            <w:rFonts w:ascii="Times New Roman" w:eastAsia="Times New Roman" w:hAnsi="Times New Roman" w:cs="Times New Roman"/>
            <w:color w:val="0000FF"/>
            <w:sz w:val="36"/>
            <w:szCs w:val="36"/>
            <w:u w:val="single"/>
          </w:rPr>
          <w:t>vicissitudes</w:t>
        </w:r>
      </w:hyperlink>
      <w:r w:rsidRPr="003F6F8B">
        <w:rPr>
          <w:rFonts w:ascii="Times New Roman" w:eastAsia="Times New Roman" w:hAnsi="Times New Roman" w:cs="Times New Roman"/>
          <w:sz w:val="36"/>
          <w:szCs w:val="36"/>
        </w:rPr>
        <w:t xml:space="preserve"> of history and having its worship </w:t>
      </w:r>
      <w:proofErr w:type="spellStart"/>
      <w:r w:rsidRPr="003F6F8B">
        <w:rPr>
          <w:rFonts w:ascii="Times New Roman" w:eastAsia="Times New Roman" w:hAnsi="Times New Roman" w:cs="Times New Roman"/>
          <w:sz w:val="36"/>
          <w:szCs w:val="36"/>
        </w:rPr>
        <w:t>centred</w:t>
      </w:r>
      <w:proofErr w:type="spellEnd"/>
      <w:r w:rsidRPr="003F6F8B">
        <w:rPr>
          <w:rFonts w:ascii="Times New Roman" w:eastAsia="Times New Roman" w:hAnsi="Times New Roman" w:cs="Times New Roman"/>
          <w:sz w:val="36"/>
          <w:szCs w:val="36"/>
        </w:rPr>
        <w:t xml:space="preserve"> on the </w:t>
      </w:r>
      <w:hyperlink r:id="rId36" w:history="1">
        <w:r w:rsidRPr="003F6F8B">
          <w:rPr>
            <w:rFonts w:ascii="Times New Roman" w:eastAsia="Times New Roman" w:hAnsi="Times New Roman" w:cs="Times New Roman"/>
            <w:color w:val="0000FF"/>
            <w:sz w:val="36"/>
            <w:szCs w:val="36"/>
            <w:u w:val="single"/>
          </w:rPr>
          <w:t>Temple in Jerusalem</w:t>
        </w:r>
      </w:hyperlink>
      <w:r w:rsidRPr="003F6F8B">
        <w:rPr>
          <w:rFonts w:ascii="Times New Roman" w:eastAsia="Times New Roman" w:hAnsi="Times New Roman" w:cs="Times New Roman"/>
          <w:sz w:val="36"/>
          <w:szCs w:val="36"/>
        </w:rPr>
        <w:t>, is the true kingdom of God. It is the true Israel and is the Chronicler’s only concern. Thus, he mentions the northern kingdom and the kings of Israel only to the extent that they figure in the events of Judah. Loyalty to the Davidic line of succession, to Jerusalem, and to the Temple worship were the central elements in the life of God’s people according to this writer. All success and failure were the result of such loyalty or disloyalty. Thus, if a king’s reign was long and successful, the Chronicler saw it as the reward of God for a life led in obedience to his will; conversely, a king suffered misfortune only if he had sinned. Significantly, the Chronicler devotes much attention to David’s part in the development of the liturgy, especially the organization and functions of the Levites, and omits important but uncomplimentary stories about the King that are found in the Deuteronomic history.</w:t>
      </w:r>
    </w:p>
    <w:p w14:paraId="0FD4CFDF" w14:textId="77777777" w:rsidR="002A2249" w:rsidRPr="003F6F8B" w:rsidRDefault="002A2249" w:rsidP="002A2249">
      <w:pPr>
        <w:spacing w:before="100" w:beforeAutospacing="1" w:after="100" w:afterAutospacing="1" w:line="240" w:lineRule="auto"/>
        <w:rPr>
          <w:rFonts w:ascii="Times New Roman" w:eastAsia="Times New Roman" w:hAnsi="Times New Roman" w:cs="Times New Roman"/>
          <w:sz w:val="36"/>
          <w:szCs w:val="36"/>
        </w:rPr>
      </w:pPr>
      <w:r w:rsidRPr="003F6F8B">
        <w:rPr>
          <w:rFonts w:ascii="Times New Roman" w:eastAsia="Times New Roman" w:hAnsi="Times New Roman" w:cs="Times New Roman"/>
          <w:sz w:val="36"/>
          <w:szCs w:val="36"/>
        </w:rPr>
        <w:t xml:space="preserve">In short, the Chronicler traced the reformed liturgy of his day back to David and laid a solid foundation for the acceptance and conservation of the religious community that he envisioned—a devout community that worshipped joyfully in the Temple with sacrifice and praise and obeyed the Law of Moses. He knew well that the realization of that community in his day was not perfect and that the future had something better in store, but he seems to have been content to accept the existing Davidic leaders in order not to abandon the dynastic hope because of their shortcomings. These books thus provided an apologia for orthodox Judaism (perhaps in the face of opposition from the </w:t>
      </w:r>
      <w:hyperlink r:id="rId37" w:history="1">
        <w:r w:rsidRPr="003F6F8B">
          <w:rPr>
            <w:rFonts w:ascii="Times New Roman" w:eastAsia="Times New Roman" w:hAnsi="Times New Roman" w:cs="Times New Roman"/>
            <w:color w:val="0000FF"/>
            <w:sz w:val="36"/>
            <w:szCs w:val="36"/>
            <w:u w:val="single"/>
          </w:rPr>
          <w:t>Samaritans</w:t>
        </w:r>
      </w:hyperlink>
      <w:r w:rsidRPr="003F6F8B">
        <w:rPr>
          <w:rFonts w:ascii="Times New Roman" w:eastAsia="Times New Roman" w:hAnsi="Times New Roman" w:cs="Times New Roman"/>
          <w:sz w:val="36"/>
          <w:szCs w:val="36"/>
        </w:rPr>
        <w:t xml:space="preserve">, the inhabitants of the former northern kingdom), and they </w:t>
      </w:r>
      <w:r w:rsidRPr="003F6F8B">
        <w:rPr>
          <w:rFonts w:ascii="Times New Roman" w:eastAsia="Times New Roman" w:hAnsi="Times New Roman" w:cs="Times New Roman"/>
          <w:sz w:val="36"/>
          <w:szCs w:val="36"/>
        </w:rPr>
        <w:lastRenderedPageBreak/>
        <w:t xml:space="preserve">offer to the modern </w:t>
      </w:r>
      <w:hyperlink r:id="rId38" w:history="1">
        <w:r w:rsidRPr="003F6F8B">
          <w:rPr>
            <w:rFonts w:ascii="Times New Roman" w:eastAsia="Times New Roman" w:hAnsi="Times New Roman" w:cs="Times New Roman"/>
            <w:color w:val="0000FF"/>
            <w:sz w:val="36"/>
            <w:szCs w:val="36"/>
            <w:u w:val="single"/>
          </w:rPr>
          <w:t>reader</w:t>
        </w:r>
      </w:hyperlink>
      <w:r w:rsidRPr="003F6F8B">
        <w:rPr>
          <w:rFonts w:ascii="Times New Roman" w:eastAsia="Times New Roman" w:hAnsi="Times New Roman" w:cs="Times New Roman"/>
          <w:sz w:val="36"/>
          <w:szCs w:val="36"/>
        </w:rPr>
        <w:t xml:space="preserve"> some insight into the post-exilic community in Jerusalem, withdrawn into itself and trying to justify, explain, and preserve its existence and its spirituality.</w:t>
      </w:r>
    </w:p>
    <w:p w14:paraId="7237512F" w14:textId="77777777" w:rsidR="002A2249" w:rsidRPr="003F6F8B" w:rsidRDefault="003F6F8B" w:rsidP="002A2249">
      <w:pPr>
        <w:spacing w:after="0" w:line="240" w:lineRule="auto"/>
        <w:rPr>
          <w:rFonts w:ascii="Times New Roman" w:eastAsia="Times New Roman" w:hAnsi="Times New Roman" w:cs="Times New Roman"/>
          <w:sz w:val="36"/>
          <w:szCs w:val="36"/>
        </w:rPr>
      </w:pPr>
      <w:hyperlink r:id="rId39" w:history="1">
        <w:r w:rsidR="002A2249" w:rsidRPr="003F6F8B">
          <w:rPr>
            <w:rFonts w:ascii="Times New Roman" w:eastAsia="Times New Roman" w:hAnsi="Times New Roman" w:cs="Times New Roman"/>
            <w:color w:val="0000FF"/>
            <w:sz w:val="36"/>
            <w:szCs w:val="36"/>
            <w:u w:val="single"/>
          </w:rPr>
          <w:t xml:space="preserve">Robert L. </w:t>
        </w:r>
        <w:proofErr w:type="spellStart"/>
        <w:r w:rsidR="002A2249" w:rsidRPr="003F6F8B">
          <w:rPr>
            <w:rFonts w:ascii="Times New Roman" w:eastAsia="Times New Roman" w:hAnsi="Times New Roman" w:cs="Times New Roman"/>
            <w:color w:val="0000FF"/>
            <w:sz w:val="36"/>
            <w:szCs w:val="36"/>
            <w:u w:val="single"/>
          </w:rPr>
          <w:t>Faherty</w:t>
        </w:r>
        <w:proofErr w:type="spellEnd"/>
      </w:hyperlink>
      <w:r w:rsidR="002A2249" w:rsidRPr="003F6F8B">
        <w:rPr>
          <w:rFonts w:ascii="Times New Roman" w:eastAsia="Times New Roman" w:hAnsi="Times New Roman" w:cs="Times New Roman"/>
          <w:sz w:val="36"/>
          <w:szCs w:val="36"/>
        </w:rPr>
        <w:t xml:space="preserve"> </w:t>
      </w:r>
    </w:p>
    <w:bookmarkEnd w:id="0"/>
    <w:p w14:paraId="4F327A99" w14:textId="144B3E0B" w:rsidR="002A2249" w:rsidRPr="003F6F8B" w:rsidRDefault="002A2249" w:rsidP="002A2249">
      <w:pPr>
        <w:spacing w:after="0" w:line="240" w:lineRule="auto"/>
        <w:rPr>
          <w:rFonts w:ascii="Times New Roman" w:eastAsia="Times New Roman" w:hAnsi="Times New Roman" w:cs="Times New Roman"/>
          <w:sz w:val="36"/>
          <w:szCs w:val="36"/>
        </w:rPr>
      </w:pPr>
    </w:p>
    <w:sectPr w:rsidR="002A2249" w:rsidRPr="003F6F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249"/>
    <w:rsid w:val="002A2249"/>
    <w:rsid w:val="003F6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77090"/>
  <w15:chartTrackingRefBased/>
  <w15:docId w15:val="{6F110DA2-478B-403B-9E35-357425A4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A22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A22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24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A224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A2249"/>
    <w:rPr>
      <w:color w:val="0000FF"/>
      <w:u w:val="single"/>
    </w:rPr>
  </w:style>
  <w:style w:type="paragraph" w:styleId="NormalWeb">
    <w:name w:val="Normal (Web)"/>
    <w:basedOn w:val="Normal"/>
    <w:uiPriority w:val="99"/>
    <w:semiHidden/>
    <w:unhideWhenUsed/>
    <w:rsid w:val="002A22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smallcaps">
    <w:name w:val="text-smallcaps"/>
    <w:basedOn w:val="DefaultParagraphFont"/>
    <w:rsid w:val="002A2249"/>
  </w:style>
  <w:style w:type="character" w:styleId="Emphasis">
    <w:name w:val="Emphasis"/>
    <w:basedOn w:val="DefaultParagraphFont"/>
    <w:uiPriority w:val="20"/>
    <w:qFormat/>
    <w:rsid w:val="002A2249"/>
    <w:rPr>
      <w:i/>
      <w:iCs/>
    </w:rPr>
  </w:style>
  <w:style w:type="character" w:customStyle="1" w:styleId="md-signature">
    <w:name w:val="md-signature"/>
    <w:basedOn w:val="DefaultParagraphFont"/>
    <w:rsid w:val="002A2249"/>
  </w:style>
  <w:style w:type="character" w:styleId="Strong">
    <w:name w:val="Strong"/>
    <w:basedOn w:val="DefaultParagraphFont"/>
    <w:uiPriority w:val="22"/>
    <w:qFormat/>
    <w:rsid w:val="002A2249"/>
    <w:rPr>
      <w:b/>
      <w:bCs/>
    </w:rPr>
  </w:style>
  <w:style w:type="character" w:customStyle="1" w:styleId="md-assembly-caption">
    <w:name w:val="md-assembly-caption"/>
    <w:basedOn w:val="DefaultParagraphFont"/>
    <w:rsid w:val="002A2249"/>
  </w:style>
  <w:style w:type="character" w:styleId="HTMLCite">
    <w:name w:val="HTML Cite"/>
    <w:basedOn w:val="DefaultParagraphFont"/>
    <w:uiPriority w:val="99"/>
    <w:semiHidden/>
    <w:unhideWhenUsed/>
    <w:rsid w:val="002A22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667906">
      <w:bodyDiv w:val="1"/>
      <w:marLeft w:val="0"/>
      <w:marRight w:val="0"/>
      <w:marTop w:val="0"/>
      <w:marBottom w:val="0"/>
      <w:divBdr>
        <w:top w:val="none" w:sz="0" w:space="0" w:color="auto"/>
        <w:left w:val="none" w:sz="0" w:space="0" w:color="auto"/>
        <w:bottom w:val="none" w:sz="0" w:space="0" w:color="auto"/>
        <w:right w:val="none" w:sz="0" w:space="0" w:color="auto"/>
      </w:divBdr>
      <w:divsChild>
        <w:div w:id="412509993">
          <w:marLeft w:val="0"/>
          <w:marRight w:val="0"/>
          <w:marTop w:val="0"/>
          <w:marBottom w:val="0"/>
          <w:divBdr>
            <w:top w:val="none" w:sz="0" w:space="0" w:color="auto"/>
            <w:left w:val="none" w:sz="0" w:space="0" w:color="auto"/>
            <w:bottom w:val="none" w:sz="0" w:space="0" w:color="auto"/>
            <w:right w:val="none" w:sz="0" w:space="0" w:color="auto"/>
          </w:divBdr>
          <w:divsChild>
            <w:div w:id="1869677720">
              <w:marLeft w:val="0"/>
              <w:marRight w:val="0"/>
              <w:marTop w:val="0"/>
              <w:marBottom w:val="0"/>
              <w:divBdr>
                <w:top w:val="none" w:sz="0" w:space="0" w:color="auto"/>
                <w:left w:val="none" w:sz="0" w:space="0" w:color="auto"/>
                <w:bottom w:val="none" w:sz="0" w:space="0" w:color="auto"/>
                <w:right w:val="none" w:sz="0" w:space="0" w:color="auto"/>
              </w:divBdr>
              <w:divsChild>
                <w:div w:id="272565790">
                  <w:marLeft w:val="0"/>
                  <w:marRight w:val="0"/>
                  <w:marTop w:val="0"/>
                  <w:marBottom w:val="0"/>
                  <w:divBdr>
                    <w:top w:val="none" w:sz="0" w:space="0" w:color="auto"/>
                    <w:left w:val="none" w:sz="0" w:space="0" w:color="auto"/>
                    <w:bottom w:val="none" w:sz="0" w:space="0" w:color="auto"/>
                    <w:right w:val="none" w:sz="0" w:space="0" w:color="auto"/>
                  </w:divBdr>
                </w:div>
                <w:div w:id="1633170121">
                  <w:marLeft w:val="0"/>
                  <w:marRight w:val="0"/>
                  <w:marTop w:val="0"/>
                  <w:marBottom w:val="0"/>
                  <w:divBdr>
                    <w:top w:val="none" w:sz="0" w:space="0" w:color="auto"/>
                    <w:left w:val="none" w:sz="0" w:space="0" w:color="auto"/>
                    <w:bottom w:val="none" w:sz="0" w:space="0" w:color="auto"/>
                    <w:right w:val="none" w:sz="0" w:space="0" w:color="auto"/>
                  </w:divBdr>
                  <w:divsChild>
                    <w:div w:id="9499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86043">
              <w:marLeft w:val="0"/>
              <w:marRight w:val="0"/>
              <w:marTop w:val="0"/>
              <w:marBottom w:val="0"/>
              <w:divBdr>
                <w:top w:val="none" w:sz="0" w:space="0" w:color="auto"/>
                <w:left w:val="none" w:sz="0" w:space="0" w:color="auto"/>
                <w:bottom w:val="none" w:sz="0" w:space="0" w:color="auto"/>
                <w:right w:val="none" w:sz="0" w:space="0" w:color="auto"/>
              </w:divBdr>
              <w:divsChild>
                <w:div w:id="1410691662">
                  <w:marLeft w:val="0"/>
                  <w:marRight w:val="0"/>
                  <w:marTop w:val="0"/>
                  <w:marBottom w:val="0"/>
                  <w:divBdr>
                    <w:top w:val="none" w:sz="0" w:space="0" w:color="auto"/>
                    <w:left w:val="none" w:sz="0" w:space="0" w:color="auto"/>
                    <w:bottom w:val="none" w:sz="0" w:space="0" w:color="auto"/>
                    <w:right w:val="none" w:sz="0" w:space="0" w:color="auto"/>
                  </w:divBdr>
                  <w:divsChild>
                    <w:div w:id="414204206">
                      <w:marLeft w:val="0"/>
                      <w:marRight w:val="0"/>
                      <w:marTop w:val="0"/>
                      <w:marBottom w:val="0"/>
                      <w:divBdr>
                        <w:top w:val="none" w:sz="0" w:space="0" w:color="auto"/>
                        <w:left w:val="none" w:sz="0" w:space="0" w:color="auto"/>
                        <w:bottom w:val="none" w:sz="0" w:space="0" w:color="auto"/>
                        <w:right w:val="none" w:sz="0" w:space="0" w:color="auto"/>
                      </w:divBdr>
                      <w:divsChild>
                        <w:div w:id="1184369395">
                          <w:marLeft w:val="0"/>
                          <w:marRight w:val="0"/>
                          <w:marTop w:val="0"/>
                          <w:marBottom w:val="0"/>
                          <w:divBdr>
                            <w:top w:val="none" w:sz="0" w:space="0" w:color="auto"/>
                            <w:left w:val="none" w:sz="0" w:space="0" w:color="auto"/>
                            <w:bottom w:val="none" w:sz="0" w:space="0" w:color="auto"/>
                            <w:right w:val="none" w:sz="0" w:space="0" w:color="auto"/>
                          </w:divBdr>
                          <w:divsChild>
                            <w:div w:id="792552530">
                              <w:marLeft w:val="0"/>
                              <w:marRight w:val="0"/>
                              <w:marTop w:val="0"/>
                              <w:marBottom w:val="0"/>
                              <w:divBdr>
                                <w:top w:val="none" w:sz="0" w:space="0" w:color="auto"/>
                                <w:left w:val="none" w:sz="0" w:space="0" w:color="auto"/>
                                <w:bottom w:val="none" w:sz="0" w:space="0" w:color="auto"/>
                                <w:right w:val="none" w:sz="0" w:space="0" w:color="auto"/>
                              </w:divBdr>
                              <w:divsChild>
                                <w:div w:id="12631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5576">
                      <w:marLeft w:val="0"/>
                      <w:marRight w:val="0"/>
                      <w:marTop w:val="0"/>
                      <w:marBottom w:val="0"/>
                      <w:divBdr>
                        <w:top w:val="none" w:sz="0" w:space="0" w:color="auto"/>
                        <w:left w:val="none" w:sz="0" w:space="0" w:color="auto"/>
                        <w:bottom w:val="none" w:sz="0" w:space="0" w:color="auto"/>
                        <w:right w:val="none" w:sz="0" w:space="0" w:color="auto"/>
                      </w:divBdr>
                      <w:divsChild>
                        <w:div w:id="24434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28742">
              <w:marLeft w:val="0"/>
              <w:marRight w:val="0"/>
              <w:marTop w:val="0"/>
              <w:marBottom w:val="0"/>
              <w:divBdr>
                <w:top w:val="none" w:sz="0" w:space="0" w:color="auto"/>
                <w:left w:val="none" w:sz="0" w:space="0" w:color="auto"/>
                <w:bottom w:val="none" w:sz="0" w:space="0" w:color="auto"/>
                <w:right w:val="none" w:sz="0" w:space="0" w:color="auto"/>
              </w:divBdr>
              <w:divsChild>
                <w:div w:id="105472293">
                  <w:marLeft w:val="0"/>
                  <w:marRight w:val="0"/>
                  <w:marTop w:val="0"/>
                  <w:marBottom w:val="0"/>
                  <w:divBdr>
                    <w:top w:val="none" w:sz="0" w:space="0" w:color="auto"/>
                    <w:left w:val="none" w:sz="0" w:space="0" w:color="auto"/>
                    <w:bottom w:val="none" w:sz="0" w:space="0" w:color="auto"/>
                    <w:right w:val="none" w:sz="0" w:space="0" w:color="auto"/>
                  </w:divBdr>
                  <w:divsChild>
                    <w:div w:id="543062828">
                      <w:marLeft w:val="0"/>
                      <w:marRight w:val="0"/>
                      <w:marTop w:val="0"/>
                      <w:marBottom w:val="0"/>
                      <w:divBdr>
                        <w:top w:val="none" w:sz="0" w:space="0" w:color="auto"/>
                        <w:left w:val="none" w:sz="0" w:space="0" w:color="auto"/>
                        <w:bottom w:val="none" w:sz="0" w:space="0" w:color="auto"/>
                        <w:right w:val="none" w:sz="0" w:space="0" w:color="auto"/>
                      </w:divBdr>
                    </w:div>
                    <w:div w:id="894587566">
                      <w:marLeft w:val="0"/>
                      <w:marRight w:val="0"/>
                      <w:marTop w:val="0"/>
                      <w:marBottom w:val="0"/>
                      <w:divBdr>
                        <w:top w:val="none" w:sz="0" w:space="0" w:color="auto"/>
                        <w:left w:val="none" w:sz="0" w:space="0" w:color="auto"/>
                        <w:bottom w:val="none" w:sz="0" w:space="0" w:color="auto"/>
                        <w:right w:val="none" w:sz="0" w:space="0" w:color="auto"/>
                      </w:divBdr>
                      <w:divsChild>
                        <w:div w:id="17542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513178">
              <w:marLeft w:val="0"/>
              <w:marRight w:val="0"/>
              <w:marTop w:val="0"/>
              <w:marBottom w:val="0"/>
              <w:divBdr>
                <w:top w:val="none" w:sz="0" w:space="0" w:color="auto"/>
                <w:left w:val="none" w:sz="0" w:space="0" w:color="auto"/>
                <w:bottom w:val="none" w:sz="0" w:space="0" w:color="auto"/>
                <w:right w:val="none" w:sz="0" w:space="0" w:color="auto"/>
              </w:divBdr>
              <w:divsChild>
                <w:div w:id="959847080">
                  <w:marLeft w:val="0"/>
                  <w:marRight w:val="0"/>
                  <w:marTop w:val="0"/>
                  <w:marBottom w:val="0"/>
                  <w:divBdr>
                    <w:top w:val="none" w:sz="0" w:space="0" w:color="auto"/>
                    <w:left w:val="none" w:sz="0" w:space="0" w:color="auto"/>
                    <w:bottom w:val="none" w:sz="0" w:space="0" w:color="auto"/>
                    <w:right w:val="none" w:sz="0" w:space="0" w:color="auto"/>
                  </w:divBdr>
                  <w:divsChild>
                    <w:div w:id="408842461">
                      <w:marLeft w:val="0"/>
                      <w:marRight w:val="0"/>
                      <w:marTop w:val="0"/>
                      <w:marBottom w:val="0"/>
                      <w:divBdr>
                        <w:top w:val="none" w:sz="0" w:space="0" w:color="auto"/>
                        <w:left w:val="none" w:sz="0" w:space="0" w:color="auto"/>
                        <w:bottom w:val="none" w:sz="0" w:space="0" w:color="auto"/>
                        <w:right w:val="none" w:sz="0" w:space="0" w:color="auto"/>
                      </w:divBdr>
                    </w:div>
                    <w:div w:id="960499241">
                      <w:marLeft w:val="0"/>
                      <w:marRight w:val="0"/>
                      <w:marTop w:val="0"/>
                      <w:marBottom w:val="0"/>
                      <w:divBdr>
                        <w:top w:val="none" w:sz="0" w:space="0" w:color="auto"/>
                        <w:left w:val="none" w:sz="0" w:space="0" w:color="auto"/>
                        <w:bottom w:val="none" w:sz="0" w:space="0" w:color="auto"/>
                        <w:right w:val="none" w:sz="0" w:space="0" w:color="auto"/>
                      </w:divBdr>
                      <w:divsChild>
                        <w:div w:id="199487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07523">
              <w:marLeft w:val="0"/>
              <w:marRight w:val="0"/>
              <w:marTop w:val="0"/>
              <w:marBottom w:val="0"/>
              <w:divBdr>
                <w:top w:val="none" w:sz="0" w:space="0" w:color="auto"/>
                <w:left w:val="none" w:sz="0" w:space="0" w:color="auto"/>
                <w:bottom w:val="none" w:sz="0" w:space="0" w:color="auto"/>
                <w:right w:val="none" w:sz="0" w:space="0" w:color="auto"/>
              </w:divBdr>
              <w:divsChild>
                <w:div w:id="1416052262">
                  <w:marLeft w:val="0"/>
                  <w:marRight w:val="0"/>
                  <w:marTop w:val="0"/>
                  <w:marBottom w:val="0"/>
                  <w:divBdr>
                    <w:top w:val="none" w:sz="0" w:space="0" w:color="auto"/>
                    <w:left w:val="none" w:sz="0" w:space="0" w:color="auto"/>
                    <w:bottom w:val="none" w:sz="0" w:space="0" w:color="auto"/>
                    <w:right w:val="none" w:sz="0" w:space="0" w:color="auto"/>
                  </w:divBdr>
                  <w:divsChild>
                    <w:div w:id="476840274">
                      <w:marLeft w:val="0"/>
                      <w:marRight w:val="0"/>
                      <w:marTop w:val="0"/>
                      <w:marBottom w:val="0"/>
                      <w:divBdr>
                        <w:top w:val="none" w:sz="0" w:space="0" w:color="auto"/>
                        <w:left w:val="none" w:sz="0" w:space="0" w:color="auto"/>
                        <w:bottom w:val="none" w:sz="0" w:space="0" w:color="auto"/>
                        <w:right w:val="none" w:sz="0" w:space="0" w:color="auto"/>
                      </w:divBdr>
                    </w:div>
                    <w:div w:id="748622311">
                      <w:marLeft w:val="0"/>
                      <w:marRight w:val="0"/>
                      <w:marTop w:val="0"/>
                      <w:marBottom w:val="0"/>
                      <w:divBdr>
                        <w:top w:val="none" w:sz="0" w:space="0" w:color="auto"/>
                        <w:left w:val="none" w:sz="0" w:space="0" w:color="auto"/>
                        <w:bottom w:val="none" w:sz="0" w:space="0" w:color="auto"/>
                        <w:right w:val="none" w:sz="0" w:space="0" w:color="auto"/>
                      </w:divBdr>
                      <w:divsChild>
                        <w:div w:id="9786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Book-of-Ezra" TargetMode="External"/><Relationship Id="rId13" Type="http://schemas.openxmlformats.org/officeDocument/2006/relationships/hyperlink" Target="https://www.britannica.com/topic/Judaism" TargetMode="External"/><Relationship Id="rId18" Type="http://schemas.openxmlformats.org/officeDocument/2006/relationships/hyperlink" Target="https://www.britannica.com/event/Babylonian-Captivity" TargetMode="External"/><Relationship Id="rId26" Type="http://schemas.openxmlformats.org/officeDocument/2006/relationships/hyperlink" Target="https://www.britannica.com/biography/Alexander-the-Great" TargetMode="External"/><Relationship Id="rId39" Type="http://schemas.openxmlformats.org/officeDocument/2006/relationships/hyperlink" Target="https://www.britannica.com/contributor/Robert-L-Faherty/890" TargetMode="External"/><Relationship Id="rId3" Type="http://schemas.openxmlformats.org/officeDocument/2006/relationships/webSettings" Target="webSettings.xml"/><Relationship Id="rId21" Type="http://schemas.openxmlformats.org/officeDocument/2006/relationships/hyperlink" Target="https://www.britannica.com/topic/Latin" TargetMode="External"/><Relationship Id="rId34" Type="http://schemas.openxmlformats.org/officeDocument/2006/relationships/hyperlink" Target="https://www.merriam-webster.com/dictionary/covenant" TargetMode="External"/><Relationship Id="rId7" Type="http://schemas.openxmlformats.org/officeDocument/2006/relationships/hyperlink" Target="https://www.britannica.com/topic/books-of-the-Chronicles" TargetMode="External"/><Relationship Id="rId12" Type="http://schemas.openxmlformats.org/officeDocument/2006/relationships/hyperlink" Target="https://www.britannica.com/topic/religion" TargetMode="External"/><Relationship Id="rId17" Type="http://schemas.openxmlformats.org/officeDocument/2006/relationships/hyperlink" Target="https://www.britannica.com/topic/Book-of-Ezra" TargetMode="External"/><Relationship Id="rId25" Type="http://schemas.openxmlformats.org/officeDocument/2006/relationships/hyperlink" Target="https://www.britannica.com/topic/cantor" TargetMode="External"/><Relationship Id="rId33" Type="http://schemas.openxmlformats.org/officeDocument/2006/relationships/hyperlink" Target="https://www.merriam-webster.com/dictionary/community" TargetMode="External"/><Relationship Id="rId38" Type="http://schemas.openxmlformats.org/officeDocument/2006/relationships/hyperlink" Target="https://www.britannica.com/topic/lector" TargetMode="External"/><Relationship Id="rId2" Type="http://schemas.openxmlformats.org/officeDocument/2006/relationships/settings" Target="settings.xml"/><Relationship Id="rId16" Type="http://schemas.openxmlformats.org/officeDocument/2006/relationships/hyperlink" Target="https://www.britannica.com/topic/books-of-Kings" TargetMode="External"/><Relationship Id="rId20" Type="http://schemas.openxmlformats.org/officeDocument/2006/relationships/hyperlink" Target="https://www.britannica.com/topic/Greek-language" TargetMode="External"/><Relationship Id="rId29" Type="http://schemas.openxmlformats.org/officeDocument/2006/relationships/hyperlink" Target="https://www.britannica.com/topic/Septuagint"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ritannica.com/topic/Hebrew-Bible" TargetMode="External"/><Relationship Id="rId11" Type="http://schemas.openxmlformats.org/officeDocument/2006/relationships/hyperlink" Target="https://www.britannica.com/topic/Torah" TargetMode="External"/><Relationship Id="rId24" Type="http://schemas.openxmlformats.org/officeDocument/2006/relationships/hyperlink" Target="https://www.merriam-webster.com/dictionary/concur" TargetMode="External"/><Relationship Id="rId32" Type="http://schemas.openxmlformats.org/officeDocument/2006/relationships/hyperlink" Target="https://www.britannica.com/biography/David" TargetMode="External"/><Relationship Id="rId37" Type="http://schemas.openxmlformats.org/officeDocument/2006/relationships/hyperlink" Target="https://www.britannica.com/topic/Samaritan" TargetMode="External"/><Relationship Id="rId40" Type="http://schemas.openxmlformats.org/officeDocument/2006/relationships/fontTable" Target="fontTable.xml"/><Relationship Id="rId5" Type="http://schemas.openxmlformats.org/officeDocument/2006/relationships/hyperlink" Target="https://www.britannica.com/topic/books-of-the-Chronicles" TargetMode="External"/><Relationship Id="rId15" Type="http://schemas.openxmlformats.org/officeDocument/2006/relationships/hyperlink" Target="https://www.britannica.com/biography/Zedekiah" TargetMode="External"/><Relationship Id="rId23" Type="http://schemas.openxmlformats.org/officeDocument/2006/relationships/hyperlink" Target="https://www.britannica.com/biography/Ezra-Hebrew-religious-leader" TargetMode="External"/><Relationship Id="rId28" Type="http://schemas.openxmlformats.org/officeDocument/2006/relationships/hyperlink" Target="https://www.merriam-webster.com/dictionary/adaptations" TargetMode="External"/><Relationship Id="rId36" Type="http://schemas.openxmlformats.org/officeDocument/2006/relationships/hyperlink" Target="https://www.britannica.com/topic/Temple-of-Jerusalem" TargetMode="External"/><Relationship Id="rId10" Type="http://schemas.openxmlformats.org/officeDocument/2006/relationships/hyperlink" Target="https://www.merriam-webster.com/dictionary/constituted" TargetMode="External"/><Relationship Id="rId19" Type="http://schemas.openxmlformats.org/officeDocument/2006/relationships/hyperlink" Target="https://www.britannica.com/biography/Nehemiah" TargetMode="External"/><Relationship Id="rId31" Type="http://schemas.openxmlformats.org/officeDocument/2006/relationships/hyperlink" Target="https://www.britannica.com/topic/covenant-religion" TargetMode="External"/><Relationship Id="rId4" Type="http://schemas.openxmlformats.org/officeDocument/2006/relationships/hyperlink" Target="https://www.britannica.com/topic/Book-of-Nehemiah" TargetMode="External"/><Relationship Id="rId9" Type="http://schemas.openxmlformats.org/officeDocument/2006/relationships/hyperlink" Target="https://www.britannica.com/biography/Adam-and-Eve-biblical-literary-figures" TargetMode="External"/><Relationship Id="rId14" Type="http://schemas.openxmlformats.org/officeDocument/2006/relationships/hyperlink" Target="https://www.britannica.com/topic/Books-of-Samuel" TargetMode="External"/><Relationship Id="rId22" Type="http://schemas.openxmlformats.org/officeDocument/2006/relationships/hyperlink" Target="https://www.merriam-webster.com/dictionary/canonical" TargetMode="External"/><Relationship Id="rId27" Type="http://schemas.openxmlformats.org/officeDocument/2006/relationships/hyperlink" Target="https://www.britannica.com/biography/Zerubbabel" TargetMode="External"/><Relationship Id="rId30" Type="http://schemas.openxmlformats.org/officeDocument/2006/relationships/hyperlink" Target="https://www.britannica.com/topic/Torah" TargetMode="External"/><Relationship Id="rId35" Type="http://schemas.openxmlformats.org/officeDocument/2006/relationships/hyperlink" Target="https://www.merriam-webster.com/dictionary/vicissitu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1533</Words>
  <Characters>8741</Characters>
  <Application>Microsoft Office Word</Application>
  <DocSecurity>0</DocSecurity>
  <Lines>72</Lines>
  <Paragraphs>20</Paragraphs>
  <ScaleCrop>false</ScaleCrop>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Chui</dc:creator>
  <cp:keywords/>
  <dc:description/>
  <cp:lastModifiedBy>Christopher</cp:lastModifiedBy>
  <cp:revision>2</cp:revision>
  <dcterms:created xsi:type="dcterms:W3CDTF">2020-03-01T01:47:00Z</dcterms:created>
  <dcterms:modified xsi:type="dcterms:W3CDTF">2020-03-02T15:01:00Z</dcterms:modified>
</cp:coreProperties>
</file>